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E2" w:rsidRDefault="00E37AEC">
      <w:r>
        <w:t>Документы, которые должны входить в заявку (пункт 3.4.2 Закупочной документации)</w:t>
      </w:r>
    </w:p>
    <w:p w:rsidR="00E37AEC" w:rsidRDefault="00E37AEC"/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rPr>
          <w:rStyle w:val="11"/>
          <w:color w:val="auto"/>
        </w:rPr>
        <w:t xml:space="preserve"> </w:t>
      </w:r>
      <w:r>
        <w:t>Письмо о подаче оферты по форме и в соответствии с инструкциями, приведенными в настоящей Документации (п. 4.1) – в виде скан-копии документа с подписью и печатью организации;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rPr>
          <w:b/>
        </w:rPr>
        <w:t>Коммерческое предложение</w:t>
      </w:r>
      <w:r>
        <w:t xml:space="preserve"> – в виде скан-копии документа с подписью и печатью организации, (для Лотов №2 и №3 – по формам Приложений 1 и 2 к Письму о подаче Оферты (прайс-лист и стоимость 1 магазина; цены на одинаковые позиции в приложении 1 и 2 соответствующего лота должны быть идентичными! Заполняются ВСЕ желтые ячейки); для Лота №1 – по форме «Лот 1 Приложение 1»), все заполненные приложения подаются в двух форматах – </w:t>
      </w:r>
      <w:r>
        <w:rPr>
          <w:b/>
          <w:lang w:val="en-US"/>
        </w:rPr>
        <w:t>pdf</w:t>
      </w:r>
      <w:r w:rsidRPr="00E37AEC">
        <w:t xml:space="preserve"> </w:t>
      </w:r>
      <w:r>
        <w:t xml:space="preserve">и </w:t>
      </w:r>
      <w:r>
        <w:rPr>
          <w:b/>
          <w:lang w:val="en-US"/>
        </w:rPr>
        <w:t>Exce</w:t>
      </w:r>
      <w:r>
        <w:rPr>
          <w:lang w:val="en-US"/>
        </w:rPr>
        <w:t>l</w:t>
      </w:r>
      <w:r>
        <w:t xml:space="preserve">; </w:t>
      </w:r>
    </w:p>
    <w:p w:rsidR="00E37AEC" w:rsidRDefault="00E37AEC" w:rsidP="00E37AEC">
      <w:pPr>
        <w:pStyle w:val="20"/>
        <w:numPr>
          <w:ilvl w:val="0"/>
          <w:numId w:val="3"/>
        </w:numPr>
        <w:tabs>
          <w:tab w:val="left" w:pos="708"/>
        </w:tabs>
        <w:ind w:left="1276" w:hanging="11"/>
      </w:pPr>
      <w:r>
        <w:t xml:space="preserve">Анкету Участника по форме и в соответствии с инструкциями, приведенными в настоящей Документации по запросу предложений (п.4.2) - </w:t>
      </w:r>
      <w:r>
        <w:rPr>
          <w:b/>
          <w:u w:val="single"/>
        </w:rPr>
        <w:t xml:space="preserve"> в формате </w:t>
      </w:r>
      <w:r>
        <w:rPr>
          <w:b/>
          <w:u w:val="single"/>
          <w:lang w:val="en-US"/>
        </w:rPr>
        <w:t>Word</w:t>
      </w:r>
      <w:r>
        <w:rPr>
          <w:b/>
          <w:u w:val="single"/>
        </w:rPr>
        <w:t>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t xml:space="preserve">Согласие с условиями ТЗ и на заключение Договора по форме ПАО «Детский мир» (по Лотам 2 и 3) без протокола разногласий и на включение обязательных пунктов в договор (по Лоту 1) – </w:t>
      </w:r>
      <w:r>
        <w:rPr>
          <w:b/>
        </w:rPr>
        <w:t>в свободной форме на бланке ор-</w:t>
      </w:r>
      <w:proofErr w:type="spellStart"/>
      <w:r>
        <w:rPr>
          <w:b/>
        </w:rPr>
        <w:t>ции</w:t>
      </w:r>
      <w:proofErr w:type="spellEnd"/>
      <w:r>
        <w:rPr>
          <w:b/>
        </w:rPr>
        <w:t>, скан с подписью и печатью</w:t>
      </w:r>
      <w:r>
        <w:t>;</w:t>
      </w:r>
    </w:p>
    <w:p w:rsidR="00E37AEC" w:rsidRDefault="00E37AEC" w:rsidP="00E37AEC">
      <w:pPr>
        <w:pStyle w:val="20"/>
        <w:numPr>
          <w:ilvl w:val="0"/>
          <w:numId w:val="3"/>
        </w:numPr>
        <w:tabs>
          <w:tab w:val="left" w:pos="708"/>
        </w:tabs>
        <w:suppressAutoHyphens w:val="0"/>
        <w:ind w:left="1276" w:hanging="11"/>
        <w:outlineLvl w:val="9"/>
      </w:pPr>
      <w:r>
        <w:t>К</w:t>
      </w:r>
      <w:r>
        <w:rPr>
          <w:spacing w:val="-1"/>
        </w:rPr>
        <w:t>опии баланса (Ф1) и отчета о финансовых результатах (Ф2), заверенные подписью руководителя и печатью,</w:t>
      </w:r>
      <w:r>
        <w:rPr>
          <w:spacing w:val="-4"/>
        </w:rPr>
        <w:t xml:space="preserve"> за </w:t>
      </w:r>
      <w:r>
        <w:t>2018 и 2019 года; (+ подтверждение ИФНС о приеме);</w:t>
      </w:r>
    </w:p>
    <w:p w:rsidR="00E37AEC" w:rsidRDefault="00E37AEC" w:rsidP="00E37AEC">
      <w:pPr>
        <w:pStyle w:val="20"/>
        <w:numPr>
          <w:ilvl w:val="0"/>
          <w:numId w:val="3"/>
        </w:numPr>
        <w:tabs>
          <w:tab w:val="left" w:pos="708"/>
        </w:tabs>
        <w:suppressAutoHyphens w:val="0"/>
        <w:ind w:left="1276" w:hanging="11"/>
        <w:outlineLvl w:val="9"/>
      </w:pPr>
      <w:r>
        <w:rPr>
          <w:b/>
        </w:rPr>
        <w:t>Декларации по налогу на прибыль</w:t>
      </w:r>
      <w:r>
        <w:t xml:space="preserve"> за 2018 год, 2019 год (+ подтверждение ИФНС о приеме);</w:t>
      </w:r>
    </w:p>
    <w:p w:rsidR="00E37AEC" w:rsidRDefault="00E37AEC" w:rsidP="00E37AEC">
      <w:pPr>
        <w:pStyle w:val="20"/>
        <w:numPr>
          <w:ilvl w:val="0"/>
          <w:numId w:val="3"/>
        </w:numPr>
        <w:tabs>
          <w:tab w:val="left" w:pos="708"/>
        </w:tabs>
        <w:suppressAutoHyphens w:val="0"/>
        <w:ind w:left="1276" w:hanging="11"/>
        <w:outlineLvl w:val="9"/>
      </w:pPr>
      <w:r>
        <w:rPr>
          <w:b/>
        </w:rPr>
        <w:t>Декларации по НДС</w:t>
      </w:r>
      <w:r>
        <w:t xml:space="preserve"> (</w:t>
      </w:r>
      <w:r w:rsidRPr="00E37AEC">
        <w:rPr>
          <w:b/>
          <w:color w:val="FF0000"/>
        </w:rPr>
        <w:t>8 шт</w:t>
      </w:r>
      <w:r>
        <w:t xml:space="preserve">.) за 4 квартала 2018, 4 квартала 2019г. (+ подтверждение ИФНС о приеме). </w:t>
      </w:r>
      <w:r>
        <w:rPr>
          <w:i/>
        </w:rPr>
        <w:t xml:space="preserve">Резиденты РК предоставляют Декларации по НДС и КПН за 2018 и 2019 годы. 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t xml:space="preserve">Справку </w:t>
      </w:r>
      <w:r>
        <w:rPr>
          <w:color w:val="auto"/>
        </w:rPr>
        <w:t>об исполнении налогоплательщиком обязанности по уплате налогов, сборов, пеней, штрафов, процентов</w:t>
      </w:r>
      <w:r>
        <w:t xml:space="preserve"> (</w:t>
      </w:r>
      <w:r w:rsidRPr="00E37AEC">
        <w:rPr>
          <w:b/>
          <w:bCs/>
          <w:color w:val="FF0000"/>
        </w:rPr>
        <w:t>КНД 1120101</w:t>
      </w:r>
      <w:r>
        <w:t xml:space="preserve">); </w:t>
      </w:r>
      <w:r>
        <w:rPr>
          <w:color w:val="auto"/>
        </w:rPr>
        <w:t>Акт сверки с ИФНС по суммам уплаченных налоговых платежей;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t>Копию устава; Копию свидетельства ОГРН; Копию свидетельства о постановке на налоговый учет;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t>Выписку из ЕГРЮЛ (</w:t>
      </w:r>
      <w:r>
        <w:rPr>
          <w:i/>
          <w:lang w:val="en-US"/>
        </w:rPr>
        <w:t>EGOV</w:t>
      </w:r>
      <w:r>
        <w:rPr>
          <w:i/>
        </w:rPr>
        <w:t xml:space="preserve"> для резидентов РК</w:t>
      </w:r>
      <w:r>
        <w:t>) не старше 30 дней (</w:t>
      </w:r>
      <w:r>
        <w:rPr>
          <w:i/>
        </w:rPr>
        <w:t>возможно предоставление электронного документа с усиленной ЭЦП через https://service.nalog.ru/vyp/);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rPr>
          <w:color w:val="auto"/>
        </w:rPr>
        <w:t>Официальное письмо на бланке компании с подписью генерального директора о применении системы налогообложения;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t>Протокол о назначении Генерального Директора.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rPr>
          <w:b/>
        </w:rPr>
        <w:t>Детализованная справочная информация</w:t>
      </w:r>
      <w:r>
        <w:t xml:space="preserve"> о филиальной/подрядной сети и численности квалифицированных инженеров на территории РФ / РК – в свободной форме на бланке организации;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rPr>
          <w:b/>
        </w:rPr>
        <w:t>Для участников Лота № 1 – пример готового проекта;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rPr>
          <w:b/>
        </w:rPr>
        <w:t>Действующие лицензии</w:t>
      </w:r>
      <w:r>
        <w:t xml:space="preserve"> на производство работ по проектированию, монтажу, ремонту и техническому обслуживанию систем охранного телевидения (представить копии лицензий), а также остальных ИТ-систем (если применимо);</w:t>
      </w:r>
    </w:p>
    <w:p w:rsidR="00E37AEC" w:rsidRDefault="00E37AEC" w:rsidP="00E37AEC">
      <w:pPr>
        <w:pStyle w:val="a"/>
        <w:numPr>
          <w:ilvl w:val="0"/>
          <w:numId w:val="3"/>
        </w:numPr>
        <w:tabs>
          <w:tab w:val="left" w:pos="708"/>
        </w:tabs>
        <w:ind w:left="1276" w:hanging="11"/>
      </w:pPr>
      <w:r>
        <w:rPr>
          <w:b/>
        </w:rPr>
        <w:t>Отзывы, благодарственные письма</w:t>
      </w:r>
      <w:r>
        <w:t xml:space="preserve"> с указанием контактов </w:t>
      </w:r>
      <w:proofErr w:type="spellStart"/>
      <w:r>
        <w:t>рекомендателя</w:t>
      </w:r>
      <w:proofErr w:type="spellEnd"/>
      <w:r>
        <w:t xml:space="preserve">; </w:t>
      </w:r>
      <w:proofErr w:type="spellStart"/>
      <w:r>
        <w:rPr>
          <w:b/>
        </w:rPr>
        <w:t>референсы</w:t>
      </w:r>
      <w:proofErr w:type="spellEnd"/>
      <w:r>
        <w:rPr>
          <w:b/>
        </w:rPr>
        <w:t>/копии договоров</w:t>
      </w:r>
      <w:r>
        <w:t xml:space="preserve"> по аналогичным работам (без </w:t>
      </w:r>
      <w:r>
        <w:lastRenderedPageBreak/>
        <w:t xml:space="preserve">раскрытия условий, являющихся коммерческой тайной) – в соответствии с п.6.1 и 6.4 Технического задания;  </w:t>
      </w:r>
    </w:p>
    <w:p w:rsidR="00E37AEC" w:rsidRDefault="00E37AEC" w:rsidP="00E37AEC">
      <w:pPr>
        <w:pStyle w:val="20"/>
        <w:numPr>
          <w:ilvl w:val="0"/>
          <w:numId w:val="3"/>
        </w:numPr>
        <w:tabs>
          <w:tab w:val="left" w:pos="708"/>
        </w:tabs>
        <w:ind w:left="1276" w:hanging="11"/>
      </w:pPr>
      <w:r>
        <w:t>При согласии на открытие счета в ПАО «МТС-Банк» участник должен предоставить соответствующее гарантийное письмо (см. «Условия расчётов» в п. 3.6.4. Оценочная стадия);</w:t>
      </w:r>
    </w:p>
    <w:p w:rsidR="00E37AEC" w:rsidRDefault="00E37AEC" w:rsidP="00E37AEC">
      <w:pPr>
        <w:pStyle w:val="a"/>
        <w:numPr>
          <w:ilvl w:val="0"/>
          <w:numId w:val="0"/>
        </w:numPr>
        <w:tabs>
          <w:tab w:val="left" w:pos="708"/>
        </w:tabs>
        <w:ind w:left="1146"/>
      </w:pPr>
    </w:p>
    <w:p w:rsidR="00E37AEC" w:rsidRDefault="00E37AEC"/>
    <w:p w:rsidR="00E37AEC" w:rsidRPr="00E37AEC" w:rsidRDefault="00E37AEC">
      <w:pPr>
        <w:rPr>
          <w:b/>
          <w:color w:val="FF0000"/>
        </w:rPr>
      </w:pPr>
      <w:r w:rsidRPr="00E37AEC">
        <w:rPr>
          <w:b/>
          <w:color w:val="FF0000"/>
        </w:rPr>
        <w:t>ВНИМАНИЕ! ВСЕ УКАЗАННЫЕ ДОКУМЕНТЫ ОБЯЗАТЕЛЬНЫ ДЛЯ ПРЕДОСТАВЛЕНИЯ!</w:t>
      </w:r>
    </w:p>
    <w:p w:rsidR="00E37AEC" w:rsidRDefault="00E37AEC">
      <w:r w:rsidRPr="00E37AEC">
        <w:rPr>
          <w:b/>
        </w:rPr>
        <w:t>НА ПЛОЩАДКЕ ЗАКУПКА РАЗДАЛЕНА НА 2 ЛОТА: ПРОЕКТИРОВАНИЕ И МОНТАЖ.</w:t>
      </w:r>
      <w:r>
        <w:t xml:space="preserve"> </w:t>
      </w:r>
    </w:p>
    <w:p w:rsidR="00E37AEC" w:rsidRDefault="00E37AEC">
      <w:r>
        <w:t xml:space="preserve">Если Вы участвуете только по </w:t>
      </w:r>
      <w:r w:rsidRPr="00E37AEC">
        <w:rPr>
          <w:b/>
        </w:rPr>
        <w:t>Лоту 1</w:t>
      </w:r>
      <w:r>
        <w:t xml:space="preserve"> – проектирование, Вам нужно </w:t>
      </w:r>
      <w:r w:rsidRPr="00E37AEC">
        <w:rPr>
          <w:b/>
        </w:rPr>
        <w:t>ПОЛНЫЙ</w:t>
      </w:r>
      <w:r>
        <w:t xml:space="preserve"> пакет приложить к </w:t>
      </w:r>
      <w:r w:rsidRPr="00E37AEC">
        <w:rPr>
          <w:b/>
        </w:rPr>
        <w:t>лоту 1</w:t>
      </w:r>
      <w:r>
        <w:t xml:space="preserve"> на площадке. </w:t>
      </w:r>
    </w:p>
    <w:p w:rsidR="00E37AEC" w:rsidRDefault="00E37AEC">
      <w:r>
        <w:t xml:space="preserve">Если Вы участвуете только в </w:t>
      </w:r>
      <w:r w:rsidRPr="00E37AEC">
        <w:rPr>
          <w:b/>
        </w:rPr>
        <w:t>Лоте 2 или 3</w:t>
      </w:r>
      <w:r>
        <w:t xml:space="preserve"> – монтаж систем на территории РФ или РК, </w:t>
      </w:r>
      <w:r>
        <w:t xml:space="preserve">Вам нужно </w:t>
      </w:r>
      <w:r w:rsidRPr="00E37AEC">
        <w:rPr>
          <w:b/>
        </w:rPr>
        <w:t>ПОЛНЫЙ</w:t>
      </w:r>
      <w:r>
        <w:t xml:space="preserve"> пакет приложить к </w:t>
      </w:r>
      <w:r w:rsidRPr="00E37AEC">
        <w:rPr>
          <w:b/>
        </w:rPr>
        <w:t xml:space="preserve">лоту </w:t>
      </w:r>
      <w:r w:rsidRPr="00E37AEC">
        <w:rPr>
          <w:b/>
        </w:rPr>
        <w:t>2</w:t>
      </w:r>
      <w:r>
        <w:t xml:space="preserve"> на площадке</w:t>
      </w:r>
      <w:r>
        <w:t>.</w:t>
      </w:r>
    </w:p>
    <w:p w:rsidR="00E37AEC" w:rsidRDefault="00E37AEC">
      <w:r>
        <w:t xml:space="preserve">Если Вы участвуете </w:t>
      </w:r>
      <w:r w:rsidRPr="00E37AEC">
        <w:rPr>
          <w:b/>
        </w:rPr>
        <w:t>в Лоте 1 и в Лоте 2 или 3</w:t>
      </w:r>
      <w:r>
        <w:t xml:space="preserve">, то </w:t>
      </w:r>
      <w:r w:rsidRPr="00E37AEC">
        <w:rPr>
          <w:b/>
        </w:rPr>
        <w:t>ПОЛНЫЙ</w:t>
      </w:r>
      <w:r>
        <w:t xml:space="preserve"> пакет нужно приложить на площадке к </w:t>
      </w:r>
      <w:r w:rsidRPr="00E37AEC">
        <w:rPr>
          <w:b/>
        </w:rPr>
        <w:t xml:space="preserve">одному лоту, а Коммерческое предложение и </w:t>
      </w:r>
      <w:proofErr w:type="spellStart"/>
      <w:r w:rsidRPr="00E37AEC">
        <w:rPr>
          <w:b/>
        </w:rPr>
        <w:t>оферу</w:t>
      </w:r>
      <w:proofErr w:type="spellEnd"/>
      <w:r w:rsidRPr="00E37AEC">
        <w:rPr>
          <w:b/>
        </w:rPr>
        <w:t xml:space="preserve"> – к каждому лоту на площадке</w:t>
      </w:r>
      <w:r>
        <w:t xml:space="preserve">! </w:t>
      </w:r>
      <w:proofErr w:type="spellStart"/>
      <w:r>
        <w:t>Т.о</w:t>
      </w:r>
      <w:proofErr w:type="spellEnd"/>
      <w:r>
        <w:t>. у Вас на площадке должно отразиться, что Вы подали заявку по обоим лотам!</w:t>
      </w:r>
    </w:p>
    <w:p w:rsidR="001211BA" w:rsidRDefault="001211BA"/>
    <w:p w:rsidR="001211BA" w:rsidRDefault="001211BA"/>
    <w:p w:rsidR="001211BA" w:rsidRDefault="001211BA" w:rsidP="001211BA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>Коммерческое предложение</w:t>
      </w:r>
      <w:r>
        <w:t xml:space="preserve"> </w:t>
      </w:r>
      <w:r>
        <w:t>должно подаваться</w:t>
      </w:r>
      <w:r>
        <w:t xml:space="preserve"> в виде скан-копии документа с подписью и печатью организации, (для Лотов №2 и №3 – по формам Приложений 1 и 2 к Письму о подаче Оферты (прайс-лист и стоимость 1 магазина</w:t>
      </w:r>
      <w:r w:rsidRPr="001211BA">
        <w:rPr>
          <w:b/>
          <w:u w:val="single"/>
        </w:rPr>
        <w:t xml:space="preserve">; цены на одинаковые позиции в приложении 1 и 2 соответствующего лота должны быть идентичными! </w:t>
      </w:r>
      <w:r>
        <w:t xml:space="preserve">Заполняются </w:t>
      </w:r>
      <w:r w:rsidRPr="001211BA">
        <w:rPr>
          <w:highlight w:val="yellow"/>
        </w:rPr>
        <w:t>ВСЕ желтые ячейки</w:t>
      </w:r>
      <w:r>
        <w:t xml:space="preserve">); для Лота №1 – по форме «Лот 1 Приложение 1»), все заполненные приложения подаются в двух форматах – </w:t>
      </w:r>
      <w:r w:rsidRPr="001211BA">
        <w:rPr>
          <w:b/>
          <w:color w:val="FF0000"/>
          <w:lang w:val="en-US"/>
        </w:rPr>
        <w:t>pdf</w:t>
      </w:r>
      <w:r w:rsidRPr="001211BA">
        <w:rPr>
          <w:color w:val="FF0000"/>
        </w:rPr>
        <w:t xml:space="preserve"> и </w:t>
      </w:r>
      <w:r w:rsidRPr="001211BA">
        <w:rPr>
          <w:b/>
          <w:color w:val="FF0000"/>
          <w:lang w:val="en-US"/>
        </w:rPr>
        <w:t>Exce</w:t>
      </w:r>
      <w:r w:rsidRPr="001211BA">
        <w:rPr>
          <w:color w:val="FF0000"/>
          <w:lang w:val="en-US"/>
        </w:rPr>
        <w:t>l</w:t>
      </w:r>
      <w:r>
        <w:t xml:space="preserve">; </w:t>
      </w:r>
    </w:p>
    <w:p w:rsidR="001211BA" w:rsidRDefault="001211BA">
      <w:bookmarkStart w:id="0" w:name="_GoBack"/>
      <w:bookmarkEnd w:id="0"/>
    </w:p>
    <w:sectPr w:rsidR="0012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" w15:restartNumberingAfterBreak="0">
    <w:nsid w:val="29247C4F"/>
    <w:multiLevelType w:val="hybridMultilevel"/>
    <w:tmpl w:val="95A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349"/>
    <w:multiLevelType w:val="hybridMultilevel"/>
    <w:tmpl w:val="95A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1E51"/>
    <w:multiLevelType w:val="multilevel"/>
    <w:tmpl w:val="F32EDF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3">
      <w:start w:val="1"/>
      <w:numFmt w:val="decimal"/>
      <w:pStyle w:val="2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EC"/>
    <w:rsid w:val="001211BA"/>
    <w:rsid w:val="00B343E2"/>
    <w:rsid w:val="00E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0DE8-064A-461E-8A42-D6F09C5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0"/>
    <w:next w:val="a0"/>
    <w:link w:val="10"/>
    <w:qFormat/>
    <w:rsid w:val="00E37AEC"/>
    <w:pPr>
      <w:keepNext/>
      <w:keepLines/>
      <w:numPr>
        <w:numId w:val="1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a0"/>
    <w:link w:val="21"/>
    <w:semiHidden/>
    <w:unhideWhenUsed/>
    <w:qFormat/>
    <w:rsid w:val="00E37AEC"/>
    <w:pPr>
      <w:keepNext/>
      <w:numPr>
        <w:ilvl w:val="1"/>
        <w:numId w:val="1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7AEC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"/>
    <w:semiHidden/>
    <w:rsid w:val="00E37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37AEC"/>
    <w:rPr>
      <w:color w:val="0000FF"/>
      <w:u w:val="single"/>
    </w:rPr>
  </w:style>
  <w:style w:type="character" w:customStyle="1" w:styleId="11">
    <w:name w:val="Пункт Знак1"/>
    <w:link w:val="a"/>
    <w:locked/>
    <w:rsid w:val="00E37AEC"/>
    <w:rPr>
      <w:color w:val="000000"/>
      <w:sz w:val="24"/>
      <w:szCs w:val="24"/>
    </w:rPr>
  </w:style>
  <w:style w:type="paragraph" w:customStyle="1" w:styleId="a">
    <w:name w:val="Пункт"/>
    <w:basedOn w:val="a0"/>
    <w:link w:val="11"/>
    <w:qFormat/>
    <w:rsid w:val="00E37AEC"/>
    <w:pPr>
      <w:numPr>
        <w:ilvl w:val="2"/>
        <w:numId w:val="1"/>
      </w:numPr>
      <w:snapToGrid w:val="0"/>
      <w:spacing w:after="0" w:line="240" w:lineRule="auto"/>
      <w:jc w:val="both"/>
    </w:pPr>
    <w:rPr>
      <w:color w:val="000000"/>
      <w:sz w:val="24"/>
      <w:szCs w:val="24"/>
    </w:rPr>
  </w:style>
  <w:style w:type="paragraph" w:customStyle="1" w:styleId="20">
    <w:name w:val="Пункт2"/>
    <w:basedOn w:val="a"/>
    <w:rsid w:val="00E37AEC"/>
    <w:pPr>
      <w:keepNext/>
      <w:numPr>
        <w:ilvl w:val="3"/>
      </w:numPr>
      <w:tabs>
        <w:tab w:val="clear" w:pos="1134"/>
        <w:tab w:val="num" w:pos="360"/>
      </w:tabs>
      <w:suppressAutoHyphens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Павская Елена Александровна</dc:creator>
  <cp:keywords/>
  <dc:description/>
  <cp:lastModifiedBy>Павская Елена Александровна</cp:lastModifiedBy>
  <cp:revision>2</cp:revision>
  <dcterms:created xsi:type="dcterms:W3CDTF">2020-02-05T08:27:00Z</dcterms:created>
  <dcterms:modified xsi:type="dcterms:W3CDTF">2020-02-05T08:34:00Z</dcterms:modified>
</cp:coreProperties>
</file>